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Összefoglaló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center"/>
        <w:rPr>
          <w:rFonts w:ascii="Arial" w:hAnsi="Arial" w:cs="Arial"/>
          <w:b/>
          <w:color w:val="474747"/>
          <w:sz w:val="22"/>
          <w:szCs w:val="22"/>
        </w:rPr>
      </w:pPr>
      <w:proofErr w:type="gramStart"/>
      <w:r w:rsidRPr="00002B6B">
        <w:rPr>
          <w:rFonts w:ascii="Arial" w:hAnsi="Arial" w:cs="Arial"/>
          <w:b/>
          <w:color w:val="474747"/>
          <w:sz w:val="22"/>
          <w:szCs w:val="22"/>
        </w:rPr>
        <w:t>a</w:t>
      </w:r>
      <w:proofErr w:type="gramEnd"/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 2021. évi egyes adó</w:t>
      </w:r>
      <w:r w:rsidR="00002B6B">
        <w:rPr>
          <w:rFonts w:ascii="Arial" w:hAnsi="Arial" w:cs="Arial"/>
          <w:b/>
          <w:color w:val="474747"/>
          <w:sz w:val="22"/>
          <w:szCs w:val="22"/>
        </w:rPr>
        <w:t xml:space="preserve">jogszabály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változásokról</w:t>
      </w: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Általános forgalmi adó (ÁFA)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A legnagyobb változások az általános forgalmi adózásban történtek.</w:t>
      </w: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Online számlaadat-szolgáltatás és áfa bevallási tervezet</w:t>
      </w:r>
    </w:p>
    <w:p w:rsidR="00EB2A26" w:rsidRPr="00002B6B" w:rsidRDefault="00EB2A26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2021. januártól – 3 hónap türelmi idő mellett – véglegesen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kiterjesztik az online számlaadat-szolgáltatás rendszerét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, már a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magánszemélyekre és a külföldiek felé kiállított számlákra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 is.</w:t>
      </w:r>
    </w:p>
    <w:p w:rsidR="00EB2A26" w:rsidRPr="00002B6B" w:rsidRDefault="00EB2A26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2021. január 4-től változnak a kötelező számlaadat-szolgáltatásra vonatkozó szabályok: minden olyan </w:t>
      </w:r>
      <w:r w:rsidRPr="00002B6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számláról, módosító, érvénytelenítő számláról</w:t>
      </w:r>
      <w:r w:rsidRPr="00002B6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amire az Áfa tv. számlázási szabályai alkalmazandóak, adatot kell szolgáltatni a NAV részére.</w:t>
      </w:r>
    </w:p>
    <w:p w:rsidR="00EB2A26" w:rsidRPr="00EB2A26" w:rsidRDefault="00EB2A26" w:rsidP="00002B6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EB2A2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Tehát 2021. január 4-től</w:t>
      </w:r>
    </w:p>
    <w:p w:rsidR="00EB2A26" w:rsidRPr="00EB2A26" w:rsidRDefault="00EB2A26" w:rsidP="00002B6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</w:pP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a nem áfa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</w:t>
      </w: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alany belföldi vagy külföldi természetes személy, jogi személy, szervezet,</w:t>
      </w:r>
    </w:p>
    <w:p w:rsidR="00EB2A26" w:rsidRPr="00002B6B" w:rsidRDefault="00EB2A26" w:rsidP="003065F7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</w:pP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a nem belföldi áfa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</w:t>
      </w: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alany, azaz más tagállami vagy harmadik országbeli áfa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</w:t>
      </w: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alany</w:t>
      </w:r>
      <w:r w:rsidR="00002B6B"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</w:t>
      </w: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részére számlázó programmal kiállított vagy kézi úton kibocsátott számlák adatait is kötelező lesz beküldeni a </w:t>
      </w:r>
      <w:proofErr w:type="spellStart"/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NAV-hoz</w:t>
      </w:r>
      <w:proofErr w:type="spellEnd"/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.</w:t>
      </w:r>
    </w:p>
    <w:p w:rsidR="00EB2A26" w:rsidRPr="00002B6B" w:rsidRDefault="00EB2A26" w:rsidP="00CB146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</w:pPr>
    </w:p>
    <w:p w:rsidR="00EB2A26" w:rsidRPr="00002B6B" w:rsidRDefault="00EB2A26" w:rsidP="00CB146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</w:pP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A </w:t>
      </w:r>
      <w:r w:rsidRPr="00002B6B">
        <w:rPr>
          <w:rFonts w:ascii="Arial" w:eastAsia="Times New Roman" w:hAnsi="Arial" w:cs="Arial"/>
          <w:b/>
          <w:color w:val="201F1E"/>
          <w:bdr w:val="none" w:sz="0" w:space="0" w:color="auto" w:frame="1"/>
          <w:lang w:eastAsia="hu-HU"/>
        </w:rPr>
        <w:t>kézi úton kibocsátott számlák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esetében a számlakibocsátását követő </w:t>
      </w:r>
      <w:r w:rsidRPr="00002B6B">
        <w:rPr>
          <w:rFonts w:ascii="Arial" w:eastAsia="Times New Roman" w:hAnsi="Arial" w:cs="Arial"/>
          <w:b/>
          <w:color w:val="201F1E"/>
          <w:bdr w:val="none" w:sz="0" w:space="0" w:color="auto" w:frame="1"/>
          <w:lang w:eastAsia="hu-HU"/>
        </w:rPr>
        <w:t>3 napon belül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 xml:space="preserve"> be kell jelenteni a </w:t>
      </w:r>
      <w:r w:rsidRPr="00002B6B">
        <w:rPr>
          <w:rFonts w:ascii="Arial" w:eastAsia="Times New Roman" w:hAnsi="Arial" w:cs="Arial"/>
          <w:b/>
          <w:color w:val="201F1E"/>
          <w:bdr w:val="none" w:sz="0" w:space="0" w:color="auto" w:frame="1"/>
          <w:lang w:eastAsia="hu-HU"/>
        </w:rPr>
        <w:t>NAV felé</w:t>
      </w:r>
      <w:r w:rsidRPr="00002B6B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.</w:t>
      </w:r>
    </w:p>
    <w:p w:rsidR="00EB2A26" w:rsidRPr="00002B6B" w:rsidRDefault="00EB2A26" w:rsidP="00CB1466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474747"/>
        </w:rPr>
      </w:pPr>
      <w:r w:rsidRPr="00EB2A26">
        <w:rPr>
          <w:rFonts w:ascii="Arial" w:eastAsia="Times New Roman" w:hAnsi="Arial" w:cs="Arial"/>
          <w:color w:val="201F1E"/>
          <w:bdr w:val="none" w:sz="0" w:space="0" w:color="auto" w:frame="1"/>
          <w:lang w:eastAsia="hu-HU"/>
        </w:rPr>
        <w:t> </w:t>
      </w:r>
    </w:p>
    <w:p w:rsidR="00FF480F" w:rsidRPr="00002B6B" w:rsidRDefault="00330524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2021. j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úliustól az adóhatóság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a rendelkezésére álló számlainformációk alapján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elkészíti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majd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a vállalkozások számára az áfa-bevallás tervezetét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>, amelyben megállapítják a fizetendő adót, valamint javaslatot tesznek az áthárított előzetesen felszámított áfa alapján a levonható adóra is. A tervezet adatait az adózónak kell majd szükség szerint módosítania. A tervezet csak annak kifejezett elfogadásával válik majd valódi bevallássá.</w:t>
      </w: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Elektronikus kereskedelem</w:t>
      </w:r>
      <w:r w:rsidR="00B93283" w:rsidRPr="00002B6B">
        <w:rPr>
          <w:rFonts w:ascii="Arial" w:hAnsi="Arial" w:cs="Arial"/>
          <w:i/>
          <w:iCs/>
          <w:color w:val="474747"/>
          <w:sz w:val="22"/>
          <w:szCs w:val="22"/>
        </w:rPr>
        <w:t xml:space="preserve"> (külföldről vásárlás)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A 2021. július 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1-től 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hatályos főszabály szerint az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uniós távértékesítéseknél a termék annak rendeltetési helye szerint adóztatandó</w:t>
      </w:r>
      <w:r w:rsidRPr="00002B6B">
        <w:rPr>
          <w:rFonts w:ascii="Arial" w:hAnsi="Arial" w:cs="Arial"/>
          <w:color w:val="474747"/>
          <w:sz w:val="22"/>
          <w:szCs w:val="22"/>
        </w:rPr>
        <w:t>. Az adminisztrációs terhek enyhítése érdekében azonban a meghatározott egységes 10.000 eurós értékhatárt meg nem haladó értékesítések esetén a teljesítés helye a letelepedés szerinti tagállam, bár az adózó értékhatár alatt is választhatja a főszabály szerinti adózást. Az értékhatár felett ugyanakkor a végső felhasználó letelepedése szerinti államának az áfa kulcsát kell alkalmazni az értékesítésre.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További módosítás, hogy az uniós vámszabályokkal összehangoltan, a harmadik országból érkező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22 eurós értékhatárt meg nem haladó import küldemények áfa</w:t>
      </w:r>
      <w:r w:rsidR="00330524" w:rsidRPr="00002B6B">
        <w:rPr>
          <w:rFonts w:ascii="Arial" w:hAnsi="Arial" w:cs="Arial"/>
          <w:b/>
          <w:color w:val="474747"/>
          <w:sz w:val="22"/>
          <w:szCs w:val="22"/>
        </w:rPr>
        <w:t>-</w:t>
      </w:r>
      <w:r w:rsidRPr="00002B6B">
        <w:rPr>
          <w:rFonts w:ascii="Arial" w:hAnsi="Arial" w:cs="Arial"/>
          <w:b/>
          <w:color w:val="474747"/>
          <w:sz w:val="22"/>
          <w:szCs w:val="22"/>
        </w:rPr>
        <w:t>mentessége megszűnik</w:t>
      </w:r>
      <w:r w:rsidRPr="00002B6B">
        <w:rPr>
          <w:rFonts w:ascii="Arial" w:hAnsi="Arial" w:cs="Arial"/>
          <w:color w:val="474747"/>
          <w:sz w:val="22"/>
          <w:szCs w:val="22"/>
        </w:rPr>
        <w:t>.</w:t>
      </w:r>
    </w:p>
    <w:p w:rsidR="00EB2A26" w:rsidRPr="00002B6B" w:rsidRDefault="00EB2A26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EB2A26" w:rsidRPr="00002B6B" w:rsidRDefault="00EB2A26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Behajthatatlan követelések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Januártól a behajthatatlan követeléshez kapcsolódó adóalap-csökkentési, visszaigénylési lehetőségek köre a magánszemélyekkel szemben fennálló követelésekkel bővül. Átmeneti rendelkezésként visszamenőlegesen 2015. december 31-ig lehetővé teszik az áfa visszaigénylést.</w:t>
      </w: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Munkaerő-kölcsönzés, építőipart érintő szabályok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A munkaerő-kölcsönzéshez kapcsolódó fordított áfa kivezetése mellett továbbra is fennmarad az építőipari tevékenységhez kapcsolódó munkaerő kölcsönzés fordított adózása minden építési-szerelési munka vonatkozásában.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lastRenderedPageBreak/>
        <w:t xml:space="preserve">Az újépítésű lakások értékesítésére vonatkozó 5%-os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áfakulcsot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2021. január 1-től visszavezetik. A szabályozás 2022. december 31-ig hatályos.</w:t>
      </w: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Kisvállalati adó (KIVA)</w:t>
      </w:r>
    </w:p>
    <w:p w:rsidR="00FF480F" w:rsidRPr="00002B6B" w:rsidRDefault="00330524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2021. január 01-től a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 xml:space="preserve"> kisvállalati adó (</w:t>
      </w:r>
      <w:r w:rsidRPr="00002B6B">
        <w:rPr>
          <w:rFonts w:ascii="Arial" w:hAnsi="Arial" w:cs="Arial"/>
          <w:b/>
          <w:color w:val="474747"/>
          <w:sz w:val="22"/>
          <w:szCs w:val="22"/>
        </w:rPr>
        <w:t>KIVA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) mértéke 11%-ra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csökken. Emellett, a törvényi változtatás kedvező feltételeket teremt a </w:t>
      </w:r>
      <w:proofErr w:type="spellStart"/>
      <w:r w:rsidR="00FF480F" w:rsidRPr="00002B6B">
        <w:rPr>
          <w:rFonts w:ascii="Arial" w:hAnsi="Arial" w:cs="Arial"/>
          <w:color w:val="474747"/>
          <w:sz w:val="22"/>
          <w:szCs w:val="22"/>
        </w:rPr>
        <w:t>KIVA-alanyok</w:t>
      </w:r>
      <w:proofErr w:type="spellEnd"/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körének bővítésére: </w:t>
      </w:r>
      <w:r w:rsidRPr="00002B6B">
        <w:rPr>
          <w:rFonts w:ascii="Arial" w:hAnsi="Arial" w:cs="Arial"/>
          <w:color w:val="474747"/>
          <w:sz w:val="22"/>
          <w:szCs w:val="22"/>
        </w:rPr>
        <w:t>a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kisvállalati adóalanyiság bevételi és mérlegfőösszegre vonatkozó értékhatára 3 milliárd forintra, míg a kilépési értékhatára 6 milliárd forintra emelkedik 2021-ben.</w:t>
      </w: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Kisadózó vállalkozók tételes adója (KATA)</w:t>
      </w:r>
    </w:p>
    <w:p w:rsidR="00FF480F" w:rsidRPr="00002B6B" w:rsidRDefault="00FF480F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2021-ben jelentősen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szigorodnak a KATA szabályai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: 2021. januártól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40%-os büntetőadót vezetnek be az olyan cégek számára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, amelyek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egy </w:t>
      </w:r>
      <w:proofErr w:type="spellStart"/>
      <w:r w:rsidRPr="00002B6B">
        <w:rPr>
          <w:rFonts w:ascii="Arial" w:hAnsi="Arial" w:cs="Arial"/>
          <w:b/>
          <w:color w:val="474747"/>
          <w:sz w:val="22"/>
          <w:szCs w:val="22"/>
        </w:rPr>
        <w:t>KATAs</w:t>
      </w:r>
      <w:proofErr w:type="spellEnd"/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 vállalkozástól egy évben több, mint 3 millió </w:t>
      </w:r>
      <w:proofErr w:type="gramStart"/>
      <w:r w:rsidRPr="00002B6B">
        <w:rPr>
          <w:rFonts w:ascii="Arial" w:hAnsi="Arial" w:cs="Arial"/>
          <w:b/>
          <w:color w:val="474747"/>
          <w:sz w:val="22"/>
          <w:szCs w:val="22"/>
        </w:rPr>
        <w:t>forint értékben</w:t>
      </w:r>
      <w:proofErr w:type="gramEnd"/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 rendelnek meg szolgáltatást vagy terméket</w:t>
      </w:r>
      <w:r w:rsidRPr="00002B6B">
        <w:rPr>
          <w:rFonts w:ascii="Arial" w:hAnsi="Arial" w:cs="Arial"/>
          <w:color w:val="474747"/>
          <w:sz w:val="22"/>
          <w:szCs w:val="22"/>
        </w:rPr>
        <w:t>. A plusz terhet a megrendelőnek kell megfizetnie, kivéve, ha külföldi – ez esetben ugyanis a kisadózó vállalkozást terheli a büntetőadó.</w:t>
      </w:r>
    </w:p>
    <w:p w:rsidR="00EB2A26" w:rsidRPr="00002B6B" w:rsidRDefault="00CB1466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Fontos változás, hogy h</w:t>
      </w:r>
      <w:r w:rsidR="00EB2A26" w:rsidRPr="00002B6B">
        <w:rPr>
          <w:rFonts w:ascii="Arial" w:hAnsi="Arial" w:cs="Arial"/>
          <w:color w:val="474747"/>
          <w:sz w:val="22"/>
          <w:szCs w:val="22"/>
        </w:rPr>
        <w:t xml:space="preserve">a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KATA alanyaként </w:t>
      </w:r>
      <w:r w:rsidR="00EB2A26" w:rsidRPr="00002B6B">
        <w:rPr>
          <w:rFonts w:ascii="Arial" w:hAnsi="Arial" w:cs="Arial"/>
          <w:b/>
          <w:color w:val="474747"/>
          <w:sz w:val="22"/>
          <w:szCs w:val="22"/>
        </w:rPr>
        <w:t>kapcsolt vállalkozásnak számláz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 a vállalkozás</w:t>
      </w:r>
      <w:r w:rsidR="00EB2A26" w:rsidRPr="00002B6B">
        <w:rPr>
          <w:rFonts w:ascii="Arial" w:hAnsi="Arial" w:cs="Arial"/>
          <w:color w:val="474747"/>
          <w:sz w:val="22"/>
          <w:szCs w:val="22"/>
        </w:rPr>
        <w:t>, 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akkor </w:t>
      </w:r>
      <w:r w:rsidR="00EB2A26" w:rsidRPr="00002B6B">
        <w:rPr>
          <w:rFonts w:ascii="Arial" w:hAnsi="Arial" w:cs="Arial"/>
          <w:b/>
          <w:color w:val="474747"/>
          <w:sz w:val="22"/>
          <w:szCs w:val="22"/>
        </w:rPr>
        <w:t xml:space="preserve">értékhatár nélkül 40%-os plusz adót kell fizetni </w:t>
      </w:r>
      <w:r w:rsidR="00EB2A26" w:rsidRPr="00002B6B">
        <w:rPr>
          <w:rFonts w:ascii="Arial" w:hAnsi="Arial" w:cs="Arial"/>
          <w:color w:val="474747"/>
          <w:sz w:val="22"/>
          <w:szCs w:val="22"/>
        </w:rPr>
        <w:t xml:space="preserve">annak, </w:t>
      </w:r>
      <w:r w:rsidR="00EB2A26" w:rsidRPr="00002B6B">
        <w:rPr>
          <w:rFonts w:ascii="Arial" w:hAnsi="Arial" w:cs="Arial"/>
          <w:b/>
          <w:color w:val="474747"/>
          <w:sz w:val="22"/>
          <w:szCs w:val="22"/>
        </w:rPr>
        <w:t>aki befogadja</w:t>
      </w:r>
      <w:r w:rsidR="00EB2A26" w:rsidRPr="00002B6B">
        <w:rPr>
          <w:rFonts w:ascii="Arial" w:hAnsi="Arial" w:cs="Arial"/>
          <w:color w:val="474747"/>
          <w:sz w:val="22"/>
          <w:szCs w:val="22"/>
        </w:rPr>
        <w:t xml:space="preserve"> a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KATA-s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</w:t>
      </w:r>
      <w:r w:rsidR="00EB2A26" w:rsidRPr="00002B6B">
        <w:rPr>
          <w:rFonts w:ascii="Arial" w:hAnsi="Arial" w:cs="Arial"/>
          <w:color w:val="474747"/>
          <w:sz w:val="22"/>
          <w:szCs w:val="22"/>
        </w:rPr>
        <w:t>számláját. Ez a külföldi kapcsolt cégre is vonatkozik.</w:t>
      </w:r>
    </w:p>
    <w:p w:rsidR="00CB1466" w:rsidRPr="00002B6B" w:rsidRDefault="00CB1466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A jogszabály 2021-től már nem teszi lehetővé, hogy több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KATA-s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vállalkozásban legyen valakinek érdekeltsége. Amennyiben valakinek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több </w:t>
      </w:r>
      <w:proofErr w:type="spellStart"/>
      <w:r w:rsidRPr="00002B6B">
        <w:rPr>
          <w:rFonts w:ascii="Arial" w:hAnsi="Arial" w:cs="Arial"/>
          <w:b/>
          <w:color w:val="474747"/>
          <w:sz w:val="22"/>
          <w:szCs w:val="22"/>
        </w:rPr>
        <w:t>KATA-s</w:t>
      </w:r>
      <w:proofErr w:type="spellEnd"/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 jogviszonya van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, akkor a további (egyen felüli) ilyen jogviszonyait a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NAV 2021. január 1-je után hivatalból törli a legrégebben kezdődött </w:t>
      </w:r>
      <w:proofErr w:type="spellStart"/>
      <w:r w:rsidRPr="00002B6B">
        <w:rPr>
          <w:rFonts w:ascii="Arial" w:hAnsi="Arial" w:cs="Arial"/>
          <w:b/>
          <w:color w:val="474747"/>
          <w:sz w:val="22"/>
          <w:szCs w:val="22"/>
        </w:rPr>
        <w:t>KATA-s</w:t>
      </w:r>
      <w:proofErr w:type="spellEnd"/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 jogviszony kivételével</w:t>
      </w:r>
      <w:r w:rsidRPr="00002B6B">
        <w:rPr>
          <w:rFonts w:ascii="Arial" w:hAnsi="Arial" w:cs="Arial"/>
          <w:color w:val="474747"/>
          <w:sz w:val="22"/>
          <w:szCs w:val="22"/>
        </w:rPr>
        <w:t>, és meg fogja állapítani az ehhez fűződő jogkövetkezményeket.</w:t>
      </w:r>
    </w:p>
    <w:p w:rsidR="00EB2A26" w:rsidRPr="00002B6B" w:rsidRDefault="00EB2A26" w:rsidP="00CB1466">
      <w:pPr>
        <w:pStyle w:val="NormlWeb"/>
        <w:shd w:val="clear" w:color="auto" w:fill="FFFFFF"/>
        <w:spacing w:before="0" w:beforeAutospacing="0" w:after="210" w:afterAutospacing="0" w:line="24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EB2A26" w:rsidRPr="00002B6B" w:rsidRDefault="00EB2A26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Személyi jövedelemadó (Szja)</w:t>
      </w: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Személyi kedvezmény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Átalakul a súlyosan fogyatékos személyek részére járó személyi kedvezmény: a jelenleg a minimálbér 5%-ig igénybe vehető adókedvezmény 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2021. január 01-től 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az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összevont adóalapot csökkentő kedvezményként vehető majd figyelembe a minimálbér harmadának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 a mértékéig.</w:t>
      </w:r>
    </w:p>
    <w:p w:rsidR="00FF480F" w:rsidRPr="00002B6B" w:rsidRDefault="00FF480F" w:rsidP="00CB14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Munkáltatói juttatások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Január elsejétől az állami alkalmazásban állók és a magánszférában dolgozók számára egyaránt 450.000 forintban egységesítik a rekreációs keretösszeget éves szinten. A speciális vészhelyzeti intézkedések azonban módosították a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SZÉP-kártya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juttatások keretösszegeit és adózását. 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A </w:t>
      </w:r>
      <w:r w:rsidRPr="00002B6B">
        <w:rPr>
          <w:rFonts w:ascii="Arial" w:hAnsi="Arial" w:cs="Arial"/>
          <w:color w:val="474747"/>
          <w:sz w:val="22"/>
          <w:szCs w:val="22"/>
        </w:rPr>
        <w:t>rekreációs keretösszeg 2021. január 1. és 2021. június 30. között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 800.000.- Ft</w:t>
      </w:r>
      <w:r w:rsidRPr="00002B6B">
        <w:rPr>
          <w:rFonts w:ascii="Arial" w:hAnsi="Arial" w:cs="Arial"/>
          <w:color w:val="474747"/>
          <w:sz w:val="22"/>
          <w:szCs w:val="22"/>
        </w:rPr>
        <w:t>, és az egyes zsebek értékhatárai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 is változtak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, azaz a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SZÉP-kártya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szálláshely </w:t>
      </w:r>
      <w:proofErr w:type="spellStart"/>
      <w:r w:rsidRPr="00002B6B">
        <w:rPr>
          <w:rFonts w:ascii="Arial" w:hAnsi="Arial" w:cs="Arial"/>
          <w:color w:val="474747"/>
          <w:sz w:val="22"/>
          <w:szCs w:val="22"/>
        </w:rPr>
        <w:t>alszámlájára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400 ezer forint, a vendéglátás “zsebbe” 265 ezer forint, szabadidős felhasználásra 135 ezer forint utalható béren kívüli juttatásként. A szociális hozzájárulási adómentesség is fél évvel meghosszabbodik, azaz csupán 2021. június 30-át követően tér vissza a szociális hozzájárulási adó, ekkor is csak 15,5% mértékben.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Szintén a veszélyhelyzeti intézkedésekhez kapcsolódott az adómentesen adható járványügyi szűrővizsgálat bevezetése, a már adómentes védőoltás mellett.</w:t>
      </w: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Társasági adó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Telephely szabályok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lastRenderedPageBreak/>
        <w:t>Szigorodnak a telephelyekkel kapcsolatos szabályok A jövőben a Magyarországról nyújtott szolgáltatások telephelyet keletkeztetnek majd a külföldi vállalkozás számára, ha a magyar jelenlétet – akár fizikai dologhoz kötődő hely hiányában – csak a munkavállalók vagy természetes személyek általi szolgáltatásnyújtás jelenti, feltéve, hogy a szolgáltatás időtartama a 183 napot meghaladja. A kapcsolódó projekteket együtt kell vizsgálni.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i/>
          <w:iCs/>
          <w:color w:val="474747"/>
          <w:sz w:val="22"/>
          <w:szCs w:val="22"/>
        </w:rPr>
        <w:t>Energiahatékonysági beruházások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A személygépkocsi és elektromos személygépkocsi vásárlásakor az energiahatékonysági célokat szolgáló beruházás, felújítás adókedvezményét 2021-től már nem lehet igénybe venni, kivéve nagy rakodóterű személygépkocsi esetében.</w:t>
      </w: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iCs/>
          <w:color w:val="474747"/>
          <w:sz w:val="22"/>
          <w:szCs w:val="22"/>
        </w:rPr>
        <w:t>Gépjárműadó</w:t>
      </w:r>
    </w:p>
    <w:p w:rsidR="00FF480F" w:rsidRPr="00002B6B" w:rsidRDefault="00330524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2021. j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>anuár 1-től a gépjárműadóhoz kapcsolódó adóhatósági feladatok az önkormányzatoktól átkerülnek az állami adóhatóság feladatkörébe.</w:t>
      </w:r>
    </w:p>
    <w:p w:rsidR="00B93283" w:rsidRPr="00002B6B" w:rsidRDefault="00B93283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B93283" w:rsidRPr="00002B6B" w:rsidRDefault="00B93283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FF480F" w:rsidRPr="00002B6B" w:rsidRDefault="00FF480F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Style w:val="Kiemels2"/>
          <w:rFonts w:ascii="Arial" w:hAnsi="Arial" w:cs="Arial"/>
          <w:bCs w:val="0"/>
          <w:color w:val="474747"/>
          <w:sz w:val="22"/>
          <w:szCs w:val="22"/>
        </w:rPr>
        <w:t>Adózás rendje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A megbízható adózók számára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emelkedik az azonnali adófizetési könnyítések értékhatára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 a korábbi 1,5 millió forintról, 3 millió forintra.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A </w:t>
      </w:r>
      <w:r w:rsidRPr="003A5F01">
        <w:rPr>
          <w:rFonts w:ascii="Arial" w:hAnsi="Arial" w:cs="Arial"/>
          <w:b/>
          <w:color w:val="474747"/>
          <w:sz w:val="22"/>
          <w:szCs w:val="22"/>
        </w:rPr>
        <w:t>magánszemélyek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 pedig 500 ezer forint helyett már </w:t>
      </w:r>
      <w:r w:rsidRPr="003A5F01">
        <w:rPr>
          <w:rFonts w:ascii="Arial" w:hAnsi="Arial" w:cs="Arial"/>
          <w:b/>
          <w:color w:val="474747"/>
          <w:sz w:val="22"/>
          <w:szCs w:val="22"/>
        </w:rPr>
        <w:t>1 millió forintig vehetik majd igénybe a 12 havi automatikus részletfizetési lehetőséget</w:t>
      </w:r>
      <w:r w:rsidRPr="00002B6B">
        <w:rPr>
          <w:rFonts w:ascii="Arial" w:hAnsi="Arial" w:cs="Arial"/>
          <w:color w:val="474747"/>
          <w:sz w:val="22"/>
          <w:szCs w:val="22"/>
        </w:rPr>
        <w:t>. Ugyancsak a természetes személyeket illeti meg az a jog, hogy szja-bevallásukban 200 ezer forint helyett már 500 ezer forin</w:t>
      </w:r>
      <w:r w:rsidR="003A5F01">
        <w:rPr>
          <w:rFonts w:ascii="Arial" w:hAnsi="Arial" w:cs="Arial"/>
          <w:color w:val="474747"/>
          <w:sz w:val="22"/>
          <w:szCs w:val="22"/>
        </w:rPr>
        <w:t xml:space="preserve">tig igényeljék az szja és </w:t>
      </w:r>
      <w:proofErr w:type="spellStart"/>
      <w:r w:rsidR="003A5F01">
        <w:rPr>
          <w:rFonts w:ascii="Arial" w:hAnsi="Arial" w:cs="Arial"/>
          <w:color w:val="474747"/>
          <w:sz w:val="22"/>
          <w:szCs w:val="22"/>
        </w:rPr>
        <w:t>szocho</w:t>
      </w:r>
      <w:proofErr w:type="spellEnd"/>
      <w:r w:rsidRPr="00002B6B">
        <w:rPr>
          <w:rFonts w:ascii="Arial" w:hAnsi="Arial" w:cs="Arial"/>
          <w:color w:val="474747"/>
          <w:sz w:val="22"/>
          <w:szCs w:val="22"/>
        </w:rPr>
        <w:t xml:space="preserve"> pótlékmentes részletfizetést. Erre </w:t>
      </w:r>
      <w:r w:rsidR="008D663C" w:rsidRPr="00002B6B">
        <w:rPr>
          <w:rFonts w:ascii="Arial" w:hAnsi="Arial" w:cs="Arial"/>
          <w:color w:val="474747"/>
          <w:sz w:val="22"/>
          <w:szCs w:val="22"/>
        </w:rPr>
        <w:t xml:space="preserve">a korábbi </w:t>
      </w:r>
      <w:r w:rsidRPr="00002B6B">
        <w:rPr>
          <w:rFonts w:ascii="Arial" w:hAnsi="Arial" w:cs="Arial"/>
          <w:color w:val="474747"/>
          <w:sz w:val="22"/>
          <w:szCs w:val="22"/>
        </w:rPr>
        <w:t>6 helyett 12 hónapra lesz lehetőség.</w:t>
      </w:r>
      <w:bookmarkStart w:id="0" w:name="_GoBack"/>
      <w:bookmarkEnd w:id="0"/>
    </w:p>
    <w:p w:rsidR="008D663C" w:rsidRPr="00002B6B" w:rsidRDefault="008D663C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Style w:val="Kiemels2"/>
          <w:rFonts w:ascii="Arial" w:hAnsi="Arial" w:cs="Arial"/>
          <w:bCs w:val="0"/>
          <w:color w:val="474747"/>
          <w:sz w:val="22"/>
          <w:szCs w:val="22"/>
        </w:rPr>
      </w:pPr>
      <w:r w:rsidRPr="00002B6B">
        <w:rPr>
          <w:rStyle w:val="Kiemels2"/>
          <w:rFonts w:ascii="Arial" w:hAnsi="Arial" w:cs="Arial"/>
          <w:bCs w:val="0"/>
          <w:color w:val="474747"/>
          <w:sz w:val="22"/>
          <w:szCs w:val="22"/>
        </w:rPr>
        <w:t>Helyi iparűzési adó (HIPA)</w:t>
      </w:r>
    </w:p>
    <w:p w:rsidR="008D663C" w:rsidRPr="00002B6B" w:rsidRDefault="008D663C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Könnyítés, hogy a 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180 napnál rövidebb ideig tartó építési tevékenységet </w:t>
      </w:r>
      <w:r w:rsidRPr="00002B6B">
        <w:rPr>
          <w:rFonts w:ascii="Arial" w:hAnsi="Arial" w:cs="Arial"/>
          <w:color w:val="474747"/>
          <w:sz w:val="22"/>
          <w:szCs w:val="22"/>
        </w:rPr>
        <w:t xml:space="preserve">2021-ben 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már nem terheli az ideiglenes tevékenység utáni iparűzési adó, ami </w:t>
      </w:r>
      <w:r w:rsidR="00330524" w:rsidRPr="00002B6B">
        <w:rPr>
          <w:rFonts w:ascii="Arial" w:hAnsi="Arial" w:cs="Arial"/>
          <w:color w:val="474747"/>
          <w:sz w:val="22"/>
          <w:szCs w:val="22"/>
        </w:rPr>
        <w:t xml:space="preserve">előnyös 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>a hazai építőiparnak.</w:t>
      </w:r>
    </w:p>
    <w:p w:rsidR="00FF480F" w:rsidRPr="00002B6B" w:rsidRDefault="008D663C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A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több telephellyel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bíró vállalkozás</w:t>
      </w:r>
      <w:r w:rsidRPr="00002B6B">
        <w:rPr>
          <w:rFonts w:ascii="Arial" w:hAnsi="Arial" w:cs="Arial"/>
          <w:color w:val="474747"/>
          <w:sz w:val="22"/>
          <w:szCs w:val="22"/>
        </w:rPr>
        <w:t>ok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>nak 2021</w:t>
      </w:r>
      <w:r w:rsidRPr="00002B6B">
        <w:rPr>
          <w:rFonts w:ascii="Arial" w:hAnsi="Arial" w:cs="Arial"/>
          <w:color w:val="474747"/>
          <w:sz w:val="22"/>
          <w:szCs w:val="22"/>
        </w:rPr>
        <w:t>. január 01-től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nem kell minden érintett önkormányzathoz benyújtaniuk a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 xml:space="preserve">helyi iparűzési adóbevallásukat, elegendő lesz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egyet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beküldeni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a Nemzeti Adó- és Vámhivatalhoz.</w:t>
      </w:r>
    </w:p>
    <w:p w:rsidR="00FF480F" w:rsidRPr="00002B6B" w:rsidRDefault="008D663C" w:rsidP="00CB146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>A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 xml:space="preserve"> kis- és középvállalkozások, valamint az egyéni vállalkozók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 xml:space="preserve">iparűzési adója </w:t>
      </w:r>
      <w:r w:rsidRPr="00002B6B">
        <w:rPr>
          <w:rFonts w:ascii="Arial" w:hAnsi="Arial" w:cs="Arial"/>
          <w:b/>
          <w:color w:val="474747"/>
          <w:sz w:val="22"/>
          <w:szCs w:val="22"/>
        </w:rPr>
        <w:t xml:space="preserve">2021. </w:t>
      </w:r>
      <w:r w:rsidR="00FF480F" w:rsidRPr="00002B6B">
        <w:rPr>
          <w:rFonts w:ascii="Arial" w:hAnsi="Arial" w:cs="Arial"/>
          <w:b/>
          <w:color w:val="474747"/>
          <w:sz w:val="22"/>
          <w:szCs w:val="22"/>
        </w:rPr>
        <w:t>január 1-jétől a felére csökken</w:t>
      </w:r>
      <w:r w:rsidR="00FF480F" w:rsidRPr="00002B6B">
        <w:rPr>
          <w:rFonts w:ascii="Arial" w:hAnsi="Arial" w:cs="Arial"/>
          <w:color w:val="474747"/>
          <w:sz w:val="22"/>
          <w:szCs w:val="22"/>
        </w:rPr>
        <w:t>.</w:t>
      </w:r>
    </w:p>
    <w:p w:rsidR="00B93283" w:rsidRPr="00002B6B" w:rsidRDefault="00B93283" w:rsidP="00B93283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EB2A26" w:rsidRPr="00002B6B" w:rsidRDefault="00EB2A26" w:rsidP="00CB14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002B6B">
        <w:rPr>
          <w:rFonts w:ascii="Arial" w:hAnsi="Arial" w:cs="Arial"/>
          <w:b/>
          <w:color w:val="474747"/>
          <w:sz w:val="22"/>
          <w:szCs w:val="22"/>
        </w:rPr>
        <w:t>Minimálbér 2021</w:t>
      </w:r>
    </w:p>
    <w:p w:rsidR="00EB2A26" w:rsidRPr="00002B6B" w:rsidRDefault="00EB2A26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  <w:r w:rsidRPr="00002B6B">
        <w:rPr>
          <w:rFonts w:ascii="Arial" w:hAnsi="Arial" w:cs="Arial"/>
          <w:color w:val="474747"/>
          <w:sz w:val="22"/>
          <w:szCs w:val="22"/>
        </w:rPr>
        <w:t xml:space="preserve">Minimálbér 2021. évi összegéről </w:t>
      </w:r>
      <w:r w:rsidRPr="00002B6B">
        <w:rPr>
          <w:rFonts w:ascii="Arial" w:hAnsi="Arial" w:cs="Arial"/>
          <w:b/>
          <w:color w:val="474747"/>
          <w:sz w:val="22"/>
          <w:szCs w:val="22"/>
        </w:rPr>
        <w:t>nem történt megállapodás</w:t>
      </w:r>
      <w:r w:rsidRPr="00002B6B">
        <w:rPr>
          <w:rFonts w:ascii="Arial" w:hAnsi="Arial" w:cs="Arial"/>
          <w:color w:val="474747"/>
          <w:sz w:val="22"/>
          <w:szCs w:val="22"/>
        </w:rPr>
        <w:t>, várhatóan januárban születik döntés.</w:t>
      </w:r>
    </w:p>
    <w:p w:rsidR="00FF480F" w:rsidRPr="00002B6B" w:rsidRDefault="00FF480F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B93283" w:rsidRPr="00002B6B" w:rsidRDefault="00B93283" w:rsidP="00CB1466">
      <w:pPr>
        <w:pStyle w:val="NormlWeb"/>
        <w:shd w:val="clear" w:color="auto" w:fill="FFFFFF"/>
        <w:spacing w:before="0" w:beforeAutospacing="0" w:after="210" w:afterAutospacing="0" w:line="330" w:lineRule="atLeast"/>
        <w:ind w:left="284"/>
        <w:jc w:val="both"/>
        <w:rPr>
          <w:rFonts w:ascii="Arial" w:hAnsi="Arial" w:cs="Arial"/>
          <w:color w:val="474747"/>
          <w:sz w:val="22"/>
          <w:szCs w:val="22"/>
        </w:rPr>
      </w:pPr>
    </w:p>
    <w:p w:rsidR="000C115C" w:rsidRDefault="00330524" w:rsidP="00CB1466">
      <w:pPr>
        <w:ind w:left="284"/>
        <w:jc w:val="both"/>
        <w:rPr>
          <w:rFonts w:ascii="Arial" w:hAnsi="Arial" w:cs="Arial"/>
        </w:rPr>
      </w:pPr>
      <w:r w:rsidRPr="00002B6B">
        <w:rPr>
          <w:rFonts w:ascii="Arial" w:hAnsi="Arial" w:cs="Arial"/>
        </w:rPr>
        <w:t>Budapest, 2021. január 04.</w:t>
      </w:r>
    </w:p>
    <w:p w:rsidR="00002B6B" w:rsidRDefault="00002B6B" w:rsidP="00CB1466">
      <w:pPr>
        <w:ind w:left="284"/>
        <w:jc w:val="both"/>
        <w:rPr>
          <w:rFonts w:ascii="Arial" w:hAnsi="Arial" w:cs="Arial"/>
        </w:rPr>
      </w:pPr>
    </w:p>
    <w:p w:rsidR="00002B6B" w:rsidRPr="00002B6B" w:rsidRDefault="00002B6B" w:rsidP="00CB146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Összeállította: Kurátor Kft.</w:t>
      </w:r>
    </w:p>
    <w:sectPr w:rsidR="00002B6B" w:rsidRPr="0000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038"/>
    <w:multiLevelType w:val="multilevel"/>
    <w:tmpl w:val="29B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83997"/>
    <w:multiLevelType w:val="multilevel"/>
    <w:tmpl w:val="401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878CD"/>
    <w:multiLevelType w:val="hybridMultilevel"/>
    <w:tmpl w:val="C52A7148"/>
    <w:lvl w:ilvl="0" w:tplc="A224EE20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5C9"/>
    <w:multiLevelType w:val="multilevel"/>
    <w:tmpl w:val="F4FC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0F"/>
    <w:rsid w:val="00002B6B"/>
    <w:rsid w:val="000C115C"/>
    <w:rsid w:val="00330524"/>
    <w:rsid w:val="003A5F01"/>
    <w:rsid w:val="008D663C"/>
    <w:rsid w:val="00B93283"/>
    <w:rsid w:val="00CB1466"/>
    <w:rsid w:val="00EB2A2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97C25-46CB-4EFA-A339-42BCE66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480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8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974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Kahulits Andrea</dc:creator>
  <cp:lastModifiedBy>Kahulits Andrea</cp:lastModifiedBy>
  <cp:revision>4</cp:revision>
  <dcterms:created xsi:type="dcterms:W3CDTF">2021-01-05T09:57:00Z</dcterms:created>
  <dcterms:modified xsi:type="dcterms:W3CDTF">2021-01-05T10:30:00Z</dcterms:modified>
</cp:coreProperties>
</file>